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Format  richiesta attribuzioni di funzioni strumentali 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Piano dell’Offerta Formativa</w:t>
      </w:r>
    </w:p>
    <w:p>
      <w:pPr>
        <w:pStyle w:val="Titolo1"/>
        <w:spacing w:lineRule="auto" w:line="240" w:before="0" w:after="0"/>
        <w:rPr>
          <w:rFonts w:ascii="Times New Roman" w:hAnsi="Times New Roman" w:eastAsia="" w:eastAsiaTheme="minorEastAsia"/>
          <w:kern w:val="0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kern w:val="0"/>
          <w:sz w:val="20"/>
          <w:szCs w:val="20"/>
          <w:lang w:eastAsia="it-IT"/>
        </w:rPr>
      </w:r>
    </w:p>
    <w:p>
      <w:pPr>
        <w:pStyle w:val="Titolo1"/>
        <w:spacing w:lineRule="auto" w:line="240" w:before="0" w:after="0"/>
        <w:jc w:val="right"/>
        <w:rPr>
          <w:rFonts w:ascii="Times New Roman" w:hAnsi="Times New Roman" w:eastAsia="" w:eastAsiaTheme="minorEastAsia"/>
          <w:kern w:val="0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kern w:val="0"/>
          <w:sz w:val="20"/>
          <w:szCs w:val="20"/>
          <w:lang w:eastAsia="it-IT"/>
        </w:rPr>
        <w:tab/>
        <w:tab/>
        <w:tab/>
        <w:tab/>
        <w:tab/>
        <w:tab/>
        <w:tab/>
        <w:tab/>
        <w:tab/>
        <w:t xml:space="preserve">      </w:t>
      </w:r>
      <w:r>
        <w:rPr>
          <w:rFonts w:eastAsia="" w:ascii="Times New Roman" w:hAnsi="Times New Roman" w:eastAsiaTheme="minorEastAsia"/>
          <w:b w:val="false"/>
          <w:kern w:val="0"/>
          <w:sz w:val="20"/>
          <w:szCs w:val="20"/>
          <w:lang w:eastAsia="it-IT"/>
        </w:rPr>
        <w:t xml:space="preserve">Al Dirigente Scolastico </w:t>
      </w:r>
    </w:p>
    <w:p>
      <w:pPr>
        <w:pStyle w:val="Normal"/>
        <w:tabs>
          <w:tab w:val="clear" w:pos="708"/>
          <w:tab w:val="left" w:pos="680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>dell’Istituto “L. Sciascia”</w:t>
      </w:r>
    </w:p>
    <w:p>
      <w:pPr>
        <w:pStyle w:val="Normal"/>
        <w:tabs>
          <w:tab w:val="clear" w:pos="708"/>
          <w:tab w:val="left" w:pos="680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>Agrigento</w:t>
      </w:r>
    </w:p>
    <w:p>
      <w:pPr>
        <w:pStyle w:val="Normal"/>
        <w:tabs>
          <w:tab w:val="clear" w:pos="708"/>
          <w:tab w:val="left" w:pos="6804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Alla commissione valutazione FF.SS. a.s. 2024-2025</w:t>
      </w:r>
    </w:p>
    <w:p>
      <w:pPr>
        <w:pStyle w:val="Normal"/>
        <w:tabs>
          <w:tab w:val="clear" w:pos="708"/>
          <w:tab w:val="left" w:pos="6804" w:leader="none"/>
        </w:tabs>
        <w:jc w:val="right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804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OGGETTO: RICHIESTA ATTRIBUZIONE DI FUNZIONI STRUMENTALI AL PIANO DELL’OFFERTA FORMATIVA PER  L’A.S. 2024/2025</w:t>
      </w:r>
    </w:p>
    <w:p>
      <w:pPr>
        <w:pStyle w:val="Normal"/>
        <w:tabs>
          <w:tab w:val="clear" w:pos="708"/>
          <w:tab w:val="left" w:pos="6804" w:leader="none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Il/la  sottoscritto/a ____________________________, docente di __________________________</w:t>
      </w:r>
    </w:p>
    <w:p>
      <w:pPr>
        <w:pStyle w:val="Corpodeltesto"/>
        <w:spacing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in servizio presso questo Istituto</w:t>
      </w:r>
    </w:p>
    <w:p>
      <w:pPr>
        <w:pStyle w:val="Corpodeltesto"/>
        <w:spacing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Corpodeltesto"/>
        <w:spacing w:before="0" w:after="0"/>
        <w:jc w:val="center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DICHIARA</w:t>
      </w:r>
    </w:p>
    <w:p>
      <w:pPr>
        <w:pStyle w:val="Corpodeltesto"/>
        <w:spacing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la disponibilità a svolgere incarico di funzione strumentale area………….</w:t>
      </w:r>
    </w:p>
    <w:p>
      <w:pPr>
        <w:pStyle w:val="Corpodeltesto"/>
        <w:spacing w:before="0" w:after="0"/>
        <w:jc w:val="center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Corpodeltesto"/>
        <w:spacing w:before="0" w:after="0"/>
        <w:jc w:val="center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CHIEDE</w:t>
      </w:r>
    </w:p>
    <w:p>
      <w:pPr>
        <w:pStyle w:val="Corpodeltesto"/>
        <w:spacing w:before="0" w:after="0"/>
        <w:jc w:val="center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Corpodeltesto"/>
        <w:spacing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l’attribuzione della seguente funzione strumentale al Piano dell’Offerta Formativa, identificata dal Collegio dei Docenti del 02/09/2024:</w:t>
      </w:r>
    </w:p>
    <w:p>
      <w:pPr>
        <w:pStyle w:val="Corpodeltesto"/>
        <w:spacing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AREA 1 Gestione PTOF /VALUTAZIONE-</w:t>
      </w:r>
      <w:r>
        <w:rPr/>
        <w:t xml:space="preserve"> </w:t>
      </w: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ATTIVITÀ COMUNI A TUTTE LE AREE</w:t>
      </w:r>
    </w:p>
    <w:p>
      <w:pPr>
        <w:pStyle w:val="Corpodeltesto"/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AREA 2: AMPLIAMENTO OFFERTA FORMATIVA E ATTIVITÀ EXTRACURRICOLARI - RAPPORTI CON IL TERRITORIO-</w:t>
      </w:r>
      <w:r>
        <w:rPr/>
        <w:t xml:space="preserve"> </w:t>
      </w: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ATTIVITÀ COMUNI A TUTTE LE AREE</w:t>
      </w:r>
    </w:p>
    <w:p>
      <w:pPr>
        <w:pStyle w:val="Corpodeltesto"/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AREA 3: CURA FRAGILITÀ E PREVENZIONE DISCO-</w:t>
      </w:r>
      <w:r>
        <w:rPr/>
        <w:t xml:space="preserve"> </w:t>
      </w: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ATTIVITÀ COMUNI A TUTTE LE AREE</w:t>
      </w:r>
    </w:p>
    <w:p>
      <w:pPr>
        <w:pStyle w:val="Corpodeltesto"/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AREA 4: INCLUSIVITÀ – CURA EDUCATIVA-</w:t>
      </w:r>
      <w:r>
        <w:rPr/>
        <w:t xml:space="preserve"> </w:t>
      </w: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ATTIVITÀ COMUNI A TUTTE LE AREE</w:t>
      </w:r>
    </w:p>
    <w:p>
      <w:pPr>
        <w:pStyle w:val="Corpodeltesto"/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AREA 5:ACCOGLIENZA – TRASPARENZA – VALORIZZAZIONE RISORSE – FORMAZIONE – SUPPORTO AL  LAVORO DEI DOCENTI-</w:t>
      </w:r>
      <w:r>
        <w:rPr/>
        <w:t xml:space="preserve"> </w:t>
      </w: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ATTIVITÀ COMUNI A TUTTE LE AREE</w:t>
      </w:r>
    </w:p>
    <w:p>
      <w:pPr>
        <w:pStyle w:val="Corpodeltesto"/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AREA 6: INVALSI</w:t>
      </w:r>
      <w:r>
        <w:rPr/>
        <w:t xml:space="preserve"> -</w:t>
      </w: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ATTIVITÀ COMUNI A TUTTE LE AREE</w:t>
      </w:r>
    </w:p>
    <w:p>
      <w:pPr>
        <w:pStyle w:val="Corpodeltesto"/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Corpodeltesto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AREA 7: ORIENTAMENTO E CONTINUITÀ SCUOLE SECONDARIE I GRADO-</w:t>
      </w:r>
      <w:r>
        <w:rPr/>
        <w:t xml:space="preserve"> </w:t>
      </w:r>
      <w:r>
        <w:rPr>
          <w:rFonts w:eastAsia="" w:ascii="Times New Roman" w:hAnsi="Times New Roman" w:eastAsiaTheme="minorEastAsia"/>
          <w:sz w:val="20"/>
          <w:szCs w:val="20"/>
          <w:lang w:eastAsia="it-IT"/>
        </w:rPr>
        <w:t>ATTIVITÀ COMUNI A TUTTE LE AREE</w:t>
      </w:r>
    </w:p>
    <w:p>
      <w:pPr>
        <w:pStyle w:val="Corpodeltesto"/>
        <w:spacing w:before="0" w:after="0"/>
        <w:jc w:val="both"/>
        <w:rPr>
          <w:rFonts w:ascii="Times New Roman" w:hAnsi="Times New Roman" w:eastAsia="" w:eastAsiaTheme="minorEastAsia"/>
          <w:sz w:val="20"/>
          <w:szCs w:val="20"/>
          <w:lang w:eastAsia="it-IT"/>
        </w:rPr>
      </w:pPr>
      <w:r>
        <w:rPr>
          <w:rFonts w:eastAsia="" w:eastAsiaTheme="minorEastAsia" w:ascii="Times New Roman" w:hAnsi="Times New Roman"/>
          <w:sz w:val="20"/>
          <w:szCs w:val="20"/>
          <w:lang w:eastAsia="it-IT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DICHIARA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di aver svolto i seguenti incarichi, distinti per anno scolastico;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0"/>
          <w:szCs w:val="20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di aver maturato le seguenti professionalità e competenze  nel settore di riferimento o per effetto di esperienze realizzate all’interno dell’ITET L. Sciascia, ovvero in altre II.SS. distinte per anno scolastico;: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………………………………………………………………………………</w:t>
      </w:r>
      <w:r>
        <w:rPr>
          <w:rFonts w:cs="Times New Roman" w:ascii="Times New Roman" w:hAnsi="Times New Roman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di possedere i seguenti titoli e competenze, coerenti con l’incarico da attribuire :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altro :.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Si allega il curriculum vitae in formato europeo, privi di dati personali.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data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Firma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ART. 33 – FUNZIONI  STRUMENTALI  AL  PIANO DELL’OFFERTA FORMATIVA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Per la realizzazione delle finalità istituzionali della scuola in regime di autonomia, la risorsa fondamentale è costituita dal patrimonio professionale dei docenti, da valorizzare per la realizzazione e la gestione del piano dell’offerta formativa dell’istituto e per la realizzazione di progetti formativi d’intesa con enti ed istituzioni esterni alla scuola. Le risorse utilizzabili, per le funzioni strumentali, a livello di ciascuna istituzione scolastica, sono quelle complessivamente spettanti, nell’anno scolastico 2002/03, sulla base dell’applicazione dell’art. 37 del CCNI del 31.08.99e sono annualmente assegnate dal MIUR.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Tali funzioni strumentali sono identificate con delibera del collegio dei docenti in coerenza con il piano dell’offerta formativa che, contestualmente, ne definisce criteri di attribuzione, numero e destinatari. Le stesse non possono comportare esoneri totali dall’insegnamento e i relativi compensi sono definiti dalla contrattazione d’istituto.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Le scuole invieranno tempestivamente al Direttore generale competente schede informative aggiornate in ordine alla quantità e alla tipologia degli incarichi conferiti, e ciò allo scopo di effettuarne il monitoraggio.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Le istituzioni scolastiche possono, nel caso in cui non attivino le funzioni strumentali nell’anno di assegnazione delle relative risorse, utilizzare le stesse nell’anno scolastico successivo, con la stessa finalità.</w:t>
      </w:r>
    </w:p>
    <w:p>
      <w:pPr>
        <w:pStyle w:val="Normal"/>
        <w:spacing w:before="0" w:after="200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750" w:footer="0" w:bottom="78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231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9347a6"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9347a6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9347a6"/>
    <w:rPr>
      <w:rFonts w:ascii="Calibri" w:hAnsi="Calibri" w:eastAsia="Calibri" w:cs="Times New Roman"/>
      <w:lang w:eastAsia="en-US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12d8b"/>
    <w:rPr>
      <w:rFonts w:ascii="Segoe UI" w:hAnsi="Segoe UI" w:cs="Segoe UI"/>
      <w:sz w:val="18"/>
      <w:szCs w:val="18"/>
    </w:rPr>
  </w:style>
  <w:style w:type="character" w:styleId="Esempio" w:customStyle="1">
    <w:name w:val="Esempio"/>
    <w:qFormat/>
    <w:rPr>
      <w:rFonts w:ascii="Liberation Mono" w:hAnsi="Liberation Mono" w:eastAsia="Liberation Mono" w:cs="Liberation Mono"/>
    </w:rPr>
  </w:style>
  <w:style w:type="character" w:styleId="Capolettere" w:customStyle="1">
    <w:name w:val="Capoletter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9347a6"/>
    <w:pPr>
      <w:spacing w:before="0" w:after="120"/>
    </w:pPr>
    <w:rPr>
      <w:rFonts w:ascii="Calibri" w:hAnsi="Calibri" w:eastAsia="Calibri" w:cs="Times New Roman"/>
      <w:lang w:eastAsia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66ca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12d8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zh-CN" w:bidi="hi-IN" w:val="it-IT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LibreOffice/7.3.0.3$Windows_X86_64 LibreOffice_project/0f246aa12d0eee4a0f7adcefbf7c878fc2238db3</Application>
  <AppVersion>15.0000</AppVersion>
  <Pages>3</Pages>
  <Words>452</Words>
  <Characters>2900</Characters>
  <CharactersWithSpaces>3333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2024-09-05T05:13:00Z</dcterms:created>
  <dc:creator>Utente</dc:creator>
  <dc:description/>
  <dc:language>it-IT</dc:language>
  <cp:lastModifiedBy/>
  <cp:lastPrinted>2021-09-08T08:32:00Z</cp:lastPrinted>
  <dcterms:modified xsi:type="dcterms:W3CDTF">2024-09-05T08:32:40Z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